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388</w:t>
      </w:r>
    </w:p>
    <w:p>
      <w:r>
        <w:t>Bundesgericht (BGE), 2018-08-22, DE</w:t>
      </w:r>
    </w:p>
    <w:p>
      <w:r>
        <w:rPr>
          <w:b/>
        </w:rPr>
        <w:t xml:space="preserve">Quelle: </w:t>
      </w:r>
      <w:r>
        <w:t>https://mcp.opencaselaw.ch/entscheid/bge_144 III 388</w:t>
      </w:r>
    </w:p>
    <w:p>
      <w:r>
        <w:t>FR: ATF 144 III 388</w:t>
      </w:r>
    </w:p>
    <w:p>
      <w:r>
        <w:t>IT: DTF 144 III 388</w:t>
      </w:r>
    </w:p>
    <w:p>
      <w:pPr>
        <w:pStyle w:val="Heading2"/>
      </w:pPr>
      <w:r>
        <w:t>Regeste</w:t>
      </w:r>
    </w:p>
    <w:p>
      <w:r>
        <w:t>Regeste Art. 718a und Art. 718b OR; Gültigkeit von Rechtsgeschäften bei Interessenkonflikten. Kein Erfordernis einer Ermächtigung durch ein übergeordnetes Organ, wenn der sich in einem Interessenkonflikt befindende Vertreter der Gesellschaft zugleich Alleinaktionär ist (E. 5; Bestätigung der Rechtsprechung).</w:t>
      </w:r>
    </w:p>
    <w:p>
      <w:pPr>
        <w:pStyle w:val="Heading2"/>
      </w:pPr>
      <w:r>
        <w:t>Erwägungen</w:t>
      </w:r>
    </w:p>
    <w:p>
      <w:r>
        <w:rPr>
          <w:b/>
        </w:rPr>
        <w:t>E. 5.1</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 S. 333 f.; BGE 126 III 361 E. 3a S. 363 f.). 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mutmasslichen Willen der juristischen Person stillschweigend jene Geschäfte ausschliesst, welche sich als interessen- bzw. pflichtwidriges Vertreterhandeln erweisen ( BGE 126 III 361 E. 3a S. 363 f.; Urteile 4A_195/2014 / 4A_197/2014 vom 27. November 2014 E. 6.1, nicht publ. in: BGE 140 III 602 ; 4C.25/2005 vom 15. August 2005 E. 1.1, nicht publ. in: BGE 131 III 636 ; vgl. auch Urteil 4A_55/2017 vom 16. Juni 2017 E. 5.2.1). Ein Schutzbedürfnis (der vertretenen Gesellschaft) entfällt aber, wenn der mit sich selbst kontrahierende Vertreter zugleich Alleinaktionär ist, da unter diesen Umständen zwingend zu folgern ist, der Abschluss des betreffenden Geschäfts entspreche zugleich dem Willen der Generalversammlung und werde deshalb von der Vertretungsmacht des Organs gedeckt ( BGE 126 III 361 E. 5a S. 366; Urteil 4C.93/2007 vom 13. August 2007 E. 2.2).</w:t>
      </w:r>
    </w:p>
    <w:p>
      <w:r>
        <w:rPr>
          <w:b/>
        </w:rPr>
        <w:t>E. 5.2</w:t>
      </w:r>
    </w:p>
    <w:p>
      <w:r>
        <w:t>Die Beschwerdeführerin legt einlässlich dar, weshalb keine Genehmigung der Vereinbarungen über die Abgangsentschädigung vorliege. Es handle sich um ein Insichgeschäft, da sich D. (CEO und BGE 144 III 388 S. 391 einziger Verwaltungsrat der A. International AG) und der Beschwerdegegner "über's Kreuz" begünstigt hätten; ein solches sei vom Gesellschaftszweck nicht erfasst. Keine der Parteien, insbesondere auch nicht der Beschwerdegegner hätten im kantonalen Verfahren behauptet, die damalige Alleinaktionärin A. Fabrication AG habe mittels eines Beschlusses ihres Verwaltungsrates rechtsgültig über die Vertretung ihrer Aktien in der Generalversammlung der Tochtergesellschaft A. International AG beschlossen. Indem die Vorinstanz wegen der Unterzeichnung des Protokolls der Generalversammlung vom 2. März 2006 auf eine formlose Ermächtigung geschlossen habe, habe sie die Verhandlungsmaxime gemäss Art. 55 ZPO und den Anspruch auf rechtliches Gehör ( Art. 29 Abs. 2 BV ) verletzt. Auch in materieller Hinsicht könne mit dem Beschluss der Generalversammlung keine gültige Ermächtigung zur Einräumung der strittigen Abgangsentschädigungen vorgelegen haben. Denn seit einem entsprechenden Beschluss der Holding im Oktober 2005 habe ein Zinsmoratorium bestanden. Durften aufgrund der angespannten Ertrags- und Liquiditätslage keine Zinsen mehr bezahlt werden, so gelte dies umso mehr für die Abgangsentschädigung. Indem die Vorinstanz gleichzeitig die vom Beschwerdegegner bezogenen Zinsen über EUR 180'000.- als unrechtmässig qualifizierte, habe sie widersprüchlich argumentiert und damit den Anspruch auf rechtliches Gehör verletzt.</w:t>
      </w:r>
    </w:p>
    <w:p>
      <w:r>
        <w:rPr>
          <w:b/>
        </w:rPr>
        <w:t>E. 5.3.1</w:t>
      </w:r>
    </w:p>
    <w:p>
      <w:r>
        <w:t>Vorerst ist festzuhalten, dass es hier nicht um den (vertretungsrechtlichen) Aspekt des Schutzes eines (gutgläubigen) Dritten geht. Die Vorinstanz ging wie dargelegt (E. 5.2 hiervor) davon aus, dass die Ergänzung des Arbeitsvertrages ein Insichgeschäft war und eine Ermächtigung durch die Generalversammlung als übergeordnetes Organ erfordert hätte. Darauf bezieht sich die Beschwerdeführerin. Damit berücksichtigt sie aber nicht die Tatsache, dass die sich "über's Kreuz" begünstigenden Personen der Änderungsverträge nach den für das Bundesgericht verbindlichen Feststellungen der Vorinstanz die alleinigen Eigentümer der Holding waren und diese insgesamt alle Tochter- und Enkelgesellschaften zu hundert Prozent besass. Die Situation ist damit vergleichbar mit jener eines Alleinaktionärs. Es fehlt an gegenläufigen Interessen. Gemäss BGE 126 III 361 (vgl. oben E. 5.1) bedarf es in einem solchen Fall keiner zusätzlichen Ermächtigung durch ein übergeordnetes Organ bzw. eine BGE 144 III 388 S. 392 solche wird stillschweigend angenommen. Das bezieht sich sowohl auf die Generalversammlung der Enkelgesellschaft - hier also der Arbeitgeberin - wie auf die Generalversammlung der Muttergesellschaft (A. Fabrication AG). Die Rügen der Beschwerdeführerin, die sich auf die fehlende Ermächtigung des Verwaltungsrates der Muttergesellschaft durch deren Generalversammlung beziehen, sind daher nicht entscheidend.</w:t>
      </w:r>
    </w:p>
    <w:p>
      <w:r>
        <w:rPr>
          <w:b/>
        </w:rPr>
        <w:t>E. 5.3.2</w:t>
      </w:r>
    </w:p>
    <w:p>
      <w:r>
        <w:t>BGE 126 III 361 ist in der Lehre teilweise auf Kritik gestossen. Mit diesem Entscheid wich das Bundesgericht von einer früheren Rechtsprechung ab ( BGE 50 II 168 ), in welcher es auch die Interessen von Gesellschaftsgläubigern als erheblich erachtete. Es erwog, namentlich in Anlehnung an ZOBL (DIETER ZOBL, Probleme der organschaftlichen Vertretungsmacht, ZBJV 125/1989 S. 289 ff., 312), den Gesellschaftsgläubigern stünden mit den paulianischen Anfechtungsklagen ( Art. 285 ff. SchKG ) und der Verantwortlichkeitsklage gegenüber Verwaltungsräten ( Art. 754 OR ) andere Rechtsbehelfe zur Durchsetzung ihrer Ansprüche zur Verfügung. Demgegenüber ist nach verschiedenen Lehrmeinungen der Hinweis auf die paulianischen Anfechtungsmöglichkeiten und Verantwortlichkeitsansprüche fragwürdig, denn damit seien die Gläubiger schlechter geschützt als mit einer direkten materiellen Ungültigkeit des fraglichen Geschäfts (STOFFEL/HEINZMANN, Interessendurchgriff?, in: Festschrift für Peter Forstmoser zum 60. Geburtstag, von der Crone und andere [Hrsg.], 2003, S. 199 ff., 208 f.; TERCIER/STOFFEL, Das Gesellschaftsrecht 2000/2001, SZW 2001 S. 282 ff., 286 f.; STUTZ/VON DER CRONE, Kontrolle von Interessenkonflikten im Aktienrecht, SZW 2003 S. 102 ff., 109 und bei Fn. 67) bzw. ein solches Vertretungshandeln könne die Gesellschaft und damit das Haftungssubstrat der Gläubiger schädigen (PETER/CAVADINI, in: Commentaire romand, Code des obligations, Bd. II, 2. Aufl. 2017, N. 10b zu Art. 718b OR ). Darüber hinaus sei die Argumentation auch unlogisch, denn sie setze voraus, dass die Nichtberücksichtigung der Gläubigerinteressen durch den Verwaltungsrat beim Selbstkontrahieren oder anderen Handlungen im Interessenkonflikt zwar pflichtwidrig sein könne, der Verwaltungsrat jedoch unter dem Gesichtswinkel der Vertretungsmacht bzw. des Handelns im Gesellschaftsinteresse nicht gehalten sei, Gläubigerinteressen zu berücksichtigen (DOROTHEA HERREN, Harmonie und Kollision beim verwaltungsrätlichen Umgang mit den Gesellschaftsinteressen, AJP 2015 S. 203 ff., 206 f.). BGE 144 III 388 S. 393 Ein anderer Teil der Lehre stimmt BGE 126 III 361 zu bzw. teilt die dort vertretene Auffassung (PETER BÖCKLI, Schweizer Aktienrecht, 4. Aufl. 2009, S. 1783 § 13 Rz. 607 f.; PETER JUNG, Insichgeschäfte im Gesellschaftsrecht oder vom gefahrlosen Umgang mit sich selbst, in: Entwicklungen im Gesellschaftsrecht VI, Peter V. Kunz und andere [Hrsg.], 2011, S. 273 ff., 283 f.; ANSGAR SCHOTT, Insichgeschäft und Interessenkonflikt, 2002, S. 246 f.; ROLF WATTER, Verdeckte Gewinnausschüttungen bei Aktiengesellschaften: Die zivil- und handelsrechtliche Sicht, in: Verdeckte Gewinnausschüttungen, Neuhaus und andere [Hrsg.], 1997, S. 137 ff., 146 und 156 f.; CHRISTOPH B. BÜHLER, in: Zürcher Kommentar, 3. Aufl. 2018, N. 10 zu Art. 718b OR bei Fn. 39; LUKAS GLANZMANN, in: OR, Kommentar, Jolanta Kren Kostkiewicz und andere [Hrsg.], 3. Aufl. 2016, N. 2 zu Art. 718b OR [wobei Letztere beide von einer Vermutung der Genehmigung bzw. Ermächtigung durch die Generalversammlung sprechen]; wohl auch URS BERTSCHINGER, Aktienrechtliche Verantwortlichkeit: Weisungen des Alleinaktionärs an die Verwaltungsräte schliessen Anspruch der Gesellschaft aus, SZW 2000 S. 197 ff., 199. Referierend: FORSTMOSER/CHRISTEN, Entwicklungen im Gesellschaftsrecht - Handelsgesellschaften und Genossenschaften - und im Wertpapierrecht, SJZ 2000 S. 467 f.). Würde man im Sinn der BGE 126 III 361 kritisierenden Lehre am Erfordernis einer Ermächtigung durch ein übergeordnetes Organ auch bei fehlendem Interessengegensatz zwischen Aktionären und handelnden Organen festhalten, würde dies auf ein rein fiktives Erfordernis hinauslaufen. Mit der ausdrücklichen Zulassung der Einpersonengesellschaft durch Art. 625 OR und der Regelung gemäss Art. 718b OR betreffend Verträgen zwischen der Gesellschaft und ihrem Vertreter (Schrifterfordernis), die im Rahmen der (kleinen) Aktienrechtsreform als Teil der Revision des GmbH-Rechts mit Wirkung ab 1. Januar 2008 eingefügt wurden, hat der Gesetzgeber bestätigt, dass Insichgeschäfte unter vertretungsrechtlichen Gesichtspunkten nicht grundsätzlich unzulässig sind. Dabei ist hervorzuheben, dass der Vorentwurf zu Art. 718b OR das Erfordernis der Schriftlichkeit explizit für Verträge zwischen einem Alleinaktionär und der von diesem vertretenen Gesellschaft vorgesehen hatte. Diese Regelung war in den Vernehmlassungen begrüsst, jedoch als zu spezifisch empfunden worden, weshalb nun alle Insichgeschäfte und nicht nur jene der Einpersonengesellschaften erfasst werden (Botschaft vom 19. Dezember 2001 zur Revision BGE 144 III 388 S. 394 des Obligationenrechts [GmbH-Recht sowie Anpassungen im Aktien-, Genossenschafts-, Handelsregister- und Firmenrecht], BBl 2002 3148, 3230 zu Art. 718b). Auch angesichts dieser auf den vorliegenden Fall in zeitlicher Hinsicht zwar noch nicht anwendbaren Gesetzgebung, die aber hinsichtlich der Einpersonengesellschaft die mit BGE 126 III 361 getroffenen Wertungen bestätigt, besteht für das Bundesgericht kein Anlass, von diesem Präjudiz abzuweichen. Zusammenfassend ist festzustellen, dass die Beschwerdeführerin beim Abschluss der Änderungsverträge vom 6. März 2006 gültig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